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（實習合作機構）     </w:t>
      </w:r>
      <w:r w:rsidR="00525CFC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           </w:t>
      </w:r>
      <w:r w:rsidR="004D55EA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</w:t>
      </w:r>
      <w:r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（以下簡稱甲方）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</w:t>
      </w:r>
      <w:r w:rsidR="007545AF" w:rsidRPr="007545AF">
        <w:rPr>
          <w:rFonts w:ascii="標楷體" w:eastAsia="標楷體" w:hAnsi="標楷體" w:cs="Times New Roman" w:hint="eastAsia"/>
          <w:sz w:val="26"/>
          <w:szCs w:val="26"/>
          <w:u w:val="single"/>
        </w:rPr>
        <w:t>行銷與流通管理系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、學制:</w:t>
      </w:r>
      <w:r w:rsidR="007545AF" w:rsidRPr="007545A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四技 </w:t>
      </w:r>
      <w:r w:rsidR="007545AF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7545AF">
        <w:rPr>
          <w:rFonts w:ascii="標楷體" w:eastAsia="標楷體" w:hAnsi="標楷體" w:cs="Times New Roman" w:hint="eastAsia"/>
          <w:sz w:val="26"/>
          <w:szCs w:val="26"/>
          <w:u w:val="single"/>
        </w:rPr>
        <w:t>校外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>實習</w:t>
      </w:r>
      <w:r w:rsidR="007545AF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3.實習人數: 計_____名。(如附件名單)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4.學分數共_____學分。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7545AF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  <w:highlight w:val="yellow"/>
        </w:rPr>
      </w:pP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>5.實習期間：自民國____年____月____日起至民國____年____月____日。</w:t>
      </w:r>
    </w:p>
    <w:p w:rsidR="0011594E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="00A436BD"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 xml:space="preserve"> </w:t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>為期____個月，每週實習時數_____小時，實習總時數______小時。</w:t>
      </w:r>
    </w:p>
    <w:p w:rsidR="004D55EA" w:rsidRPr="004D55EA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實習地點：○○公司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○○縣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市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○○區○○路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街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○○號○○樓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AD23C0" w:rsidRPr="00AD23C0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AD23C0" w:rsidRPr="00AD23C0" w:rsidRDefault="00AD23C0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4" w:name="_Hlk15376243"/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薪資：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每月給付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7545AF">
        <w:rPr>
          <w:rFonts w:ascii="Times New Roman" w:eastAsia="標楷體" w:hAnsi="標楷體" w:cs="Times New Roman"/>
          <w:color w:val="000000"/>
          <w:sz w:val="26"/>
          <w:szCs w:val="26"/>
          <w:highlight w:val="yellow"/>
          <w:u w:val="single"/>
        </w:rPr>
        <w:t xml:space="preserve">   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元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，不得低於當年度基本工資規定。</w:t>
      </w:r>
      <w:bookmarkEnd w:id="4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4D55E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福利</w:t>
      </w:r>
      <w:bookmarkStart w:id="5" w:name="_Hlk15376271"/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：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宿舍：□無□免費提供□付費提供，每月　　　元。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伙食：□無□免費提供□付費提供，每餐　　　元。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交通車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/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交通津貼：□無□免費提供□付費提供，每月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 xml:space="preserve">  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元□交通津貼，每月　元。</w:t>
      </w:r>
    </w:p>
    <w:p w:rsidR="0011594E" w:rsidRPr="004D55EA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6" w:name="_Hlk535489057"/>
      <w:bookmarkEnd w:id="5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7" w:name="_Hlk480197838"/>
      <w:bookmarkEnd w:id="6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8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545AF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 xml:space="preserve">  </w:t>
      </w:r>
      <w:r w:rsidR="007545AF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行銷系</w:t>
      </w:r>
      <w:r w:rsidR="00743C05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9" w:name="_Hlk535498859"/>
      <w:bookmarkEnd w:id="8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0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9"/>
      <w:bookmarkEnd w:id="10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7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1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lastRenderedPageBreak/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1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7545AF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甲　方：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(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公司機構名稱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)</w:t>
      </w:r>
      <w:r w:rsidR="007545AF" w:rsidRPr="007545AF">
        <w:rPr>
          <w:rFonts w:ascii="Times New Roman" w:eastAsia="標楷體" w:hAnsi="Times New Roman" w:cs="Times New Roman"/>
          <w:color w:val="000000"/>
          <w:szCs w:val="20"/>
          <w:highlight w:val="yellow"/>
          <w:u w:val="single"/>
        </w:rPr>
        <w:t xml:space="preserve">       </w:t>
      </w:r>
    </w:p>
    <w:p w:rsidR="00743C05" w:rsidRPr="007545AF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代表人</w:t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：</w:t>
      </w:r>
      <w:r w:rsidR="00743C05" w:rsidRPr="007545AF">
        <w:rPr>
          <w:rFonts w:ascii="Times New Roman" w:eastAsia="標楷體" w:hAnsi="Times New Roman" w:cs="Times New Roman"/>
          <w:color w:val="FF0000"/>
          <w:sz w:val="36"/>
          <w:szCs w:val="20"/>
          <w:highlight w:val="yellow"/>
        </w:rPr>
        <w:t xml:space="preserve">  </w:t>
      </w:r>
      <w:r w:rsidR="00743C05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職稱</w:t>
      </w:r>
      <w:r w:rsidR="007545AF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 xml:space="preserve">  +</w:t>
      </w:r>
      <w:r w:rsidR="007545AF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代表人</w:t>
      </w:r>
      <w:r w:rsidR="00743C05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姓名</w:t>
      </w:r>
      <w:r w:rsidR="00743C05" w:rsidRPr="007545AF">
        <w:rPr>
          <w:rFonts w:ascii="Times New Roman" w:eastAsia="標楷體" w:hAnsi="Times New Roman" w:cs="Times New Roman"/>
          <w:color w:val="FF0000"/>
          <w:sz w:val="36"/>
          <w:szCs w:val="20"/>
          <w:highlight w:val="yellow"/>
        </w:rPr>
        <w:t xml:space="preserve">    </w:t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簽章</w:t>
      </w:r>
      <w:r w:rsidR="006E1912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：</w:t>
      </w:r>
    </w:p>
    <w:p w:rsidR="00743C05" w:rsidRPr="007545AF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地　址：</w:t>
      </w: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Pr="007545AF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  <w:highlight w:val="yellow"/>
        </w:rPr>
      </w:pPr>
      <w:r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highlight w:val="yellow"/>
        </w:rPr>
        <w:t>臺北城市科技大學</w:t>
      </w:r>
      <w:r w:rsidR="0011594E"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highlight w:val="yellow"/>
        </w:rPr>
        <w:t>學生校外實習實務訓練名單</w:t>
      </w:r>
    </w:p>
    <w:p w:rsidR="00E041A9" w:rsidRPr="007545AF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  <w:highlight w:val="yellow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7545AF" w:rsidTr="00595EC1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Times New Roman" w:eastAsia="標楷體" w:hAnsi="標楷體" w:cs="Times New Roman"/>
                <w:b/>
                <w:sz w:val="28"/>
                <w:szCs w:val="28"/>
                <w:highlight w:val="yellow"/>
              </w:rPr>
              <w:br w:type="page"/>
            </w: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學生親簽/日期</w:t>
            </w:r>
          </w:p>
        </w:tc>
      </w:tr>
      <w:tr w:rsidR="00F51143" w:rsidRPr="007545AF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7545AF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</w:rPr>
      </w:pPr>
      <w:r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7545AF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7545AF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甲方(實習合作機構)校外實習聯絡人</w:t>
            </w: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E-Mail</w:t>
            </w: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</w:tbl>
    <w:p w:rsidR="0011594E" w:rsidRPr="007545AF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  <w:highlight w:val="yellow"/>
        </w:rPr>
      </w:pPr>
    </w:p>
    <w:p w:rsidR="00E041A9" w:rsidRPr="007545AF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  <w:highlight w:val="yellow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7545AF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7545AF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>
      <w:bookmarkStart w:id="12" w:name="_GoBack"/>
      <w:bookmarkEnd w:id="12"/>
    </w:p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47" w:rsidRDefault="00021447" w:rsidP="0011594E">
      <w:r>
        <w:separator/>
      </w:r>
    </w:p>
  </w:endnote>
  <w:endnote w:type="continuationSeparator" w:id="0">
    <w:p w:rsidR="00021447" w:rsidRDefault="00021447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47" w:rsidRDefault="00021447" w:rsidP="0011594E">
      <w:r>
        <w:separator/>
      </w:r>
    </w:p>
  </w:footnote>
  <w:footnote w:type="continuationSeparator" w:id="0">
    <w:p w:rsidR="00021447" w:rsidRDefault="00021447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21447"/>
    <w:rsid w:val="000519A2"/>
    <w:rsid w:val="000679D9"/>
    <w:rsid w:val="000A0AEB"/>
    <w:rsid w:val="0011594E"/>
    <w:rsid w:val="00157D2C"/>
    <w:rsid w:val="00185A7E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30738B"/>
    <w:rsid w:val="00353F5D"/>
    <w:rsid w:val="0042291C"/>
    <w:rsid w:val="00433EB3"/>
    <w:rsid w:val="00494DC9"/>
    <w:rsid w:val="004C77FC"/>
    <w:rsid w:val="004D55EA"/>
    <w:rsid w:val="004D6ED0"/>
    <w:rsid w:val="00525CFC"/>
    <w:rsid w:val="00533979"/>
    <w:rsid w:val="005761CC"/>
    <w:rsid w:val="00591374"/>
    <w:rsid w:val="00595EC1"/>
    <w:rsid w:val="005B5974"/>
    <w:rsid w:val="006636EA"/>
    <w:rsid w:val="006B48B7"/>
    <w:rsid w:val="006D666E"/>
    <w:rsid w:val="006E1912"/>
    <w:rsid w:val="00707DD7"/>
    <w:rsid w:val="0071030C"/>
    <w:rsid w:val="007436DE"/>
    <w:rsid w:val="00743C05"/>
    <w:rsid w:val="007545AF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90554"/>
    <w:rsid w:val="009C43B8"/>
    <w:rsid w:val="009D0F96"/>
    <w:rsid w:val="00A01D53"/>
    <w:rsid w:val="00A16AD5"/>
    <w:rsid w:val="00A436BD"/>
    <w:rsid w:val="00A64309"/>
    <w:rsid w:val="00A8607B"/>
    <w:rsid w:val="00AD23C0"/>
    <w:rsid w:val="00AF341D"/>
    <w:rsid w:val="00BA4195"/>
    <w:rsid w:val="00C072F9"/>
    <w:rsid w:val="00C8387C"/>
    <w:rsid w:val="00CB6C57"/>
    <w:rsid w:val="00CC27E7"/>
    <w:rsid w:val="00CC61AA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76FB6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TPCU</cp:lastModifiedBy>
  <cp:revision>79</cp:revision>
  <cp:lastPrinted>2023-06-14T00:57:00Z</cp:lastPrinted>
  <dcterms:created xsi:type="dcterms:W3CDTF">2022-05-31T09:07:00Z</dcterms:created>
  <dcterms:modified xsi:type="dcterms:W3CDTF">2025-04-08T05:22:00Z</dcterms:modified>
</cp:coreProperties>
</file>